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4A" w:rsidRPr="002B234A" w:rsidRDefault="00FF5D8A" w:rsidP="002B234A">
      <w:pPr>
        <w:tabs>
          <w:tab w:val="left" w:pos="5670"/>
        </w:tabs>
        <w:rPr>
          <w:color w:val="000000"/>
        </w:rPr>
      </w:pPr>
      <w:r>
        <w:tab/>
      </w:r>
      <w:r w:rsidR="002B234A" w:rsidRPr="002B234A">
        <w:rPr>
          <w:color w:val="000000"/>
        </w:rPr>
        <w:t>ЗАТВЕРДЖЕНО</w:t>
      </w:r>
      <w:r w:rsidR="002B234A" w:rsidRPr="002B234A">
        <w:rPr>
          <w:color w:val="000000"/>
        </w:rPr>
        <w:tab/>
      </w:r>
      <w:r w:rsidR="002B234A" w:rsidRPr="002B234A">
        <w:rPr>
          <w:color w:val="000000"/>
        </w:rPr>
        <w:tab/>
      </w:r>
    </w:p>
    <w:p w:rsidR="002B234A" w:rsidRPr="002B234A" w:rsidRDefault="002B234A" w:rsidP="002B234A">
      <w:pPr>
        <w:tabs>
          <w:tab w:val="left" w:pos="5670"/>
        </w:tabs>
        <w:ind w:left="5664"/>
        <w:rPr>
          <w:color w:val="000000"/>
        </w:rPr>
      </w:pPr>
      <w:r w:rsidRPr="002B234A">
        <w:rPr>
          <w:color w:val="000000"/>
        </w:rPr>
        <w:tab/>
        <w:t>Наказ Головного управління Держгеокадастру у Київській області</w:t>
      </w:r>
    </w:p>
    <w:p w:rsidR="00FF5D8A" w:rsidRPr="00CD388B" w:rsidRDefault="002B234A" w:rsidP="002B234A">
      <w:pPr>
        <w:tabs>
          <w:tab w:val="left" w:pos="5670"/>
        </w:tabs>
        <w:rPr>
          <w:color w:val="000000"/>
        </w:rPr>
      </w:pPr>
      <w:r w:rsidRPr="002B234A">
        <w:rPr>
          <w:color w:val="000000"/>
        </w:rPr>
        <w:tab/>
        <w:t>від 21 липня 2020 № 57</w:t>
      </w:r>
    </w:p>
    <w:p w:rsidR="00E81528" w:rsidRDefault="00E81528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176AB" w:rsidRPr="00D176AB" w:rsidTr="000D658F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D176AB" w:rsidRPr="00D176AB" w:rsidRDefault="00D176AB" w:rsidP="00D176AB">
            <w:pPr>
              <w:spacing w:before="60" w:after="60"/>
              <w:jc w:val="center"/>
              <w:rPr>
                <w:b/>
                <w:caps/>
                <w:sz w:val="22"/>
                <w:szCs w:val="22"/>
              </w:rPr>
            </w:pPr>
            <w:r w:rsidRPr="00D176AB">
              <w:rPr>
                <w:b/>
                <w:caps/>
                <w:sz w:val="22"/>
                <w:szCs w:val="22"/>
              </w:rPr>
              <w:t>інформаційнА карткА адміністративної послуги</w:t>
            </w:r>
          </w:p>
          <w:p w:rsidR="00D176AB" w:rsidRPr="00D176AB" w:rsidRDefault="00D176AB" w:rsidP="00D176AB">
            <w:pPr>
              <w:spacing w:before="60" w:after="60"/>
              <w:ind w:firstLine="709"/>
              <w:jc w:val="center"/>
              <w:rPr>
                <w:sz w:val="22"/>
                <w:szCs w:val="22"/>
                <w:u w:val="single"/>
                <w:shd w:val="clear" w:color="auto" w:fill="FFFFFF"/>
              </w:rPr>
            </w:pPr>
            <w:r w:rsidRPr="00D176AB">
              <w:rPr>
                <w:sz w:val="22"/>
                <w:szCs w:val="22"/>
                <w:u w:val="single"/>
                <w:shd w:val="clear" w:color="auto" w:fill="FFFFFF"/>
              </w:rPr>
              <w:t>ВИДАЧА ВИТЯГУ З ТЕХНІЧНОЇ ДОКУМЕНТАЦІЇ ПРО НОРМАТИВНУ ГРОШОВУ ОЦІНКУ ЗЕМЕЛЬНОЇ ДІЛЯНКИ</w:t>
            </w:r>
          </w:p>
          <w:p w:rsidR="00D176AB" w:rsidRPr="00D176AB" w:rsidRDefault="00D176AB" w:rsidP="00D176A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76AB">
              <w:rPr>
                <w:caps/>
                <w:sz w:val="16"/>
                <w:szCs w:val="16"/>
              </w:rPr>
              <w:t>(</w:t>
            </w:r>
            <w:r w:rsidRPr="00D176AB">
              <w:rPr>
                <w:sz w:val="16"/>
                <w:szCs w:val="16"/>
              </w:rPr>
              <w:t>назва адміністративної послуги)</w:t>
            </w:r>
          </w:p>
          <w:p w:rsidR="006A6F3A" w:rsidRPr="006A6F3A" w:rsidRDefault="006A6F3A" w:rsidP="006A6F3A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6A6F3A">
              <w:rPr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D176AB" w:rsidRPr="00D176AB" w:rsidRDefault="006A6F3A" w:rsidP="006A6F3A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6A6F3A">
              <w:rPr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D176AB" w:rsidRPr="00D176AB" w:rsidRDefault="00D176AB" w:rsidP="00D176A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76AB">
              <w:rPr>
                <w:sz w:val="16"/>
                <w:szCs w:val="16"/>
              </w:rPr>
              <w:t xml:space="preserve"> (найменування суб’єкта надання адміністративної послуги)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7"/>
              <w:gridCol w:w="3168"/>
              <w:gridCol w:w="5883"/>
            </w:tblGrid>
            <w:tr w:rsidR="00D176AB" w:rsidRPr="00D176AB" w:rsidTr="000D658F">
              <w:trPr>
                <w:trHeight w:val="441"/>
              </w:trPr>
              <w:tc>
                <w:tcPr>
                  <w:tcW w:w="9628" w:type="dxa"/>
                  <w:gridSpan w:val="3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Інформація про центр надання адміністративної послуги</w:t>
                  </w:r>
                </w:p>
              </w:tc>
            </w:tr>
            <w:tr w:rsidR="00D176AB" w:rsidRPr="00D176AB" w:rsidTr="000D658F">
              <w:trPr>
                <w:trHeight w:val="441"/>
              </w:trPr>
              <w:tc>
                <w:tcPr>
                  <w:tcW w:w="3745" w:type="dxa"/>
                  <w:gridSpan w:val="2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Найменування центру надання адміністративної послуги, в якому здійснюється обслуговування суб’єкта звернення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6A6F3A" w:rsidRPr="006A6F3A" w:rsidRDefault="006A6F3A" w:rsidP="006A6F3A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6A6F3A">
                    <w:rPr>
                      <w:rFonts w:eastAsia="Calibri"/>
                      <w:b/>
                      <w:sz w:val="20"/>
                      <w:szCs w:val="20"/>
                    </w:rPr>
                    <w:t>Центр надання адміністративних послуг виконавчого комітету Бучанської міської ради Київської області</w:t>
                  </w:r>
                </w:p>
                <w:p w:rsidR="00D176AB" w:rsidRPr="00D176AB" w:rsidRDefault="006A6F3A" w:rsidP="006A6F3A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6A6F3A">
                    <w:rPr>
                      <w:rFonts w:eastAsia="Calibri"/>
                      <w:b/>
                      <w:sz w:val="20"/>
                      <w:szCs w:val="20"/>
                    </w:rPr>
                    <w:t>Центр надання адміністративних послуг Бородянської районної державної адміністрації Київської області</w:t>
                  </w:r>
                </w:p>
              </w:tc>
            </w:tr>
            <w:tr w:rsidR="006A6F3A" w:rsidRPr="00D176AB" w:rsidTr="000D658F">
              <w:tc>
                <w:tcPr>
                  <w:tcW w:w="577" w:type="dxa"/>
                  <w:shd w:val="clear" w:color="auto" w:fill="auto"/>
                </w:tcPr>
                <w:p w:rsidR="006A6F3A" w:rsidRPr="00D176AB" w:rsidRDefault="006A6F3A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6A6F3A" w:rsidRPr="00D176AB" w:rsidRDefault="006A6F3A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Місцезнаходження центру надання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6A6F3A" w:rsidRDefault="006A6F3A" w:rsidP="00486989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08292, Київська область, м. Буча, вул. Енергетиків, 12</w:t>
                  </w:r>
                </w:p>
                <w:p w:rsidR="006A6F3A" w:rsidRPr="003142D0" w:rsidRDefault="006A6F3A" w:rsidP="00486989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07801, Київська область, смт Бородянка, вул. Центральна, 331</w:t>
                  </w:r>
                </w:p>
              </w:tc>
            </w:tr>
            <w:tr w:rsidR="006A6F3A" w:rsidRPr="00D176AB" w:rsidTr="000D658F">
              <w:tc>
                <w:tcPr>
                  <w:tcW w:w="577" w:type="dxa"/>
                  <w:shd w:val="clear" w:color="auto" w:fill="auto"/>
                </w:tcPr>
                <w:p w:rsidR="006A6F3A" w:rsidRPr="00D176AB" w:rsidRDefault="006A6F3A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6A6F3A" w:rsidRPr="00D176AB" w:rsidRDefault="006A6F3A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 xml:space="preserve">Інформація щодо режиму роботи центру надання адміністративної послуги 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6A6F3A" w:rsidRDefault="006A6F3A" w:rsidP="00486989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A93258">
                    <w:rPr>
                      <w:rFonts w:eastAsia="Calibri"/>
                      <w:b/>
                      <w:sz w:val="20"/>
                      <w:szCs w:val="20"/>
                    </w:rPr>
                    <w:t>м. Буча: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понеділок, вівторок, середа – з 08.00 до 17.00                            (без обідньої перерви); четвер – з 08.00 до 20.00 </w:t>
                  </w:r>
                  <w:r w:rsidRPr="00A93258">
                    <w:rPr>
                      <w:rFonts w:eastAsia="Calibri"/>
                      <w:sz w:val="20"/>
                      <w:szCs w:val="20"/>
                    </w:rPr>
                    <w:t>(без обідньої перерви)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; п’ятниця – з 08.00 до 16.00 </w:t>
                  </w:r>
                  <w:r w:rsidRPr="00A93258">
                    <w:rPr>
                      <w:rFonts w:eastAsia="Calibri"/>
                      <w:sz w:val="20"/>
                      <w:szCs w:val="20"/>
                    </w:rPr>
                    <w:t>(без обідньої перерви)</w:t>
                  </w:r>
                  <w:r>
                    <w:rPr>
                      <w:rFonts w:eastAsia="Calibri"/>
                      <w:sz w:val="20"/>
                      <w:szCs w:val="20"/>
                    </w:rPr>
                    <w:t>.</w:t>
                  </w:r>
                </w:p>
                <w:p w:rsidR="006A6F3A" w:rsidRPr="003142D0" w:rsidRDefault="006A6F3A" w:rsidP="00486989">
                  <w:pPr>
                    <w:jc w:val="both"/>
                    <w:rPr>
                      <w:sz w:val="20"/>
                      <w:szCs w:val="20"/>
                    </w:rPr>
                  </w:pPr>
                  <w:r w:rsidRPr="00A93258">
                    <w:rPr>
                      <w:rFonts w:eastAsia="Calibri"/>
                      <w:b/>
                      <w:sz w:val="20"/>
                      <w:szCs w:val="20"/>
                    </w:rPr>
                    <w:t>смт Бородянка</w:t>
                  </w:r>
                  <w:r>
                    <w:rPr>
                      <w:rFonts w:eastAsia="Calibri"/>
                      <w:b/>
                      <w:sz w:val="20"/>
                      <w:szCs w:val="20"/>
                    </w:rPr>
                    <w:t xml:space="preserve">: </w:t>
                  </w:r>
                  <w:r w:rsidRPr="00A93258">
                    <w:rPr>
                      <w:rFonts w:eastAsia="Calibri"/>
                      <w:sz w:val="20"/>
                      <w:szCs w:val="20"/>
                    </w:rPr>
                    <w:t>понеділок, середа, четвер – з 08.00 до 17.00                            (без обідньої перерви);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вівторок</w:t>
                  </w:r>
                  <w:r w:rsidRPr="00906706">
                    <w:rPr>
                      <w:rFonts w:eastAsia="Calibri"/>
                      <w:sz w:val="20"/>
                      <w:szCs w:val="20"/>
                    </w:rPr>
                    <w:t xml:space="preserve"> – з 08.00 до 20.00 (без обідньої перерви);</w:t>
                  </w:r>
                  <w:r>
                    <w:t xml:space="preserve"> </w:t>
                  </w:r>
                  <w:r w:rsidRPr="00906706">
                    <w:rPr>
                      <w:rFonts w:eastAsia="Calibri"/>
                      <w:sz w:val="20"/>
                      <w:szCs w:val="20"/>
                    </w:rPr>
                    <w:t>п’ятниця – з 08.00 до 1</w:t>
                  </w:r>
                  <w:r>
                    <w:rPr>
                      <w:rFonts w:eastAsia="Calibri"/>
                      <w:sz w:val="20"/>
                      <w:szCs w:val="20"/>
                    </w:rPr>
                    <w:t>5</w:t>
                  </w:r>
                  <w:r w:rsidRPr="00906706">
                    <w:rPr>
                      <w:rFonts w:eastAsia="Calibri"/>
                      <w:sz w:val="20"/>
                      <w:szCs w:val="20"/>
                    </w:rPr>
                    <w:t>.</w:t>
                  </w:r>
                  <w:r>
                    <w:rPr>
                      <w:rFonts w:eastAsia="Calibri"/>
                      <w:sz w:val="20"/>
                      <w:szCs w:val="20"/>
                    </w:rPr>
                    <w:t>45</w:t>
                  </w:r>
                  <w:r w:rsidRPr="00906706">
                    <w:rPr>
                      <w:rFonts w:eastAsia="Calibri"/>
                      <w:sz w:val="20"/>
                      <w:szCs w:val="20"/>
                    </w:rPr>
                    <w:t xml:space="preserve"> (без обідньої перерви).</w:t>
                  </w:r>
                </w:p>
              </w:tc>
            </w:tr>
            <w:tr w:rsidR="006A6F3A" w:rsidRPr="00D176AB" w:rsidTr="000D658F">
              <w:tc>
                <w:tcPr>
                  <w:tcW w:w="577" w:type="dxa"/>
                  <w:shd w:val="clear" w:color="auto" w:fill="auto"/>
                </w:tcPr>
                <w:p w:rsidR="006A6F3A" w:rsidRPr="00D176AB" w:rsidRDefault="006A6F3A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6A6F3A" w:rsidRPr="00D176AB" w:rsidRDefault="006A6F3A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Телефон/факс (довідки), адреса електронної пошти та веб-сайт центру надання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6A6F3A" w:rsidRDefault="006A6F3A" w:rsidP="00486989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06706">
                    <w:rPr>
                      <w:rFonts w:eastAsia="Calibri"/>
                      <w:b/>
                      <w:sz w:val="20"/>
                      <w:szCs w:val="20"/>
                    </w:rPr>
                    <w:t>м. Буча:</w:t>
                  </w:r>
                  <w:r>
                    <w:rPr>
                      <w:rFonts w:eastAsia="Calibri"/>
                      <w:b/>
                      <w:sz w:val="20"/>
                      <w:szCs w:val="20"/>
                    </w:rPr>
                    <w:t xml:space="preserve"> </w:t>
                  </w:r>
                  <w:r w:rsidRPr="00906706">
                    <w:rPr>
                      <w:rFonts w:eastAsia="Calibri"/>
                      <w:sz w:val="20"/>
                      <w:szCs w:val="20"/>
                    </w:rPr>
                    <w:t>тел. (04597) 2-53-72</w:t>
                  </w:r>
                </w:p>
                <w:p w:rsidR="006A6F3A" w:rsidRPr="00FB6132" w:rsidRDefault="006A6F3A" w:rsidP="00486989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FB6132">
                    <w:rPr>
                      <w:rFonts w:eastAsia="Calibri"/>
                      <w:sz w:val="20"/>
                      <w:szCs w:val="20"/>
                    </w:rPr>
                    <w:t>e-</w:t>
                  </w:r>
                  <w:proofErr w:type="spellStart"/>
                  <w:r w:rsidRPr="00FB6132">
                    <w:rPr>
                      <w:rFonts w:eastAsia="Calibri"/>
                      <w:sz w:val="20"/>
                      <w:szCs w:val="20"/>
                    </w:rPr>
                    <w:t>mail</w:t>
                  </w:r>
                  <w:proofErr w:type="spellEnd"/>
                  <w:r w:rsidRPr="00FB6132">
                    <w:rPr>
                      <w:rFonts w:eastAsia="Calibri"/>
                      <w:sz w:val="20"/>
                      <w:szCs w:val="20"/>
                    </w:rPr>
                    <w:t xml:space="preserve">: </w:t>
                  </w:r>
                  <w:hyperlink r:id="rId9" w:history="1">
                    <w:r w:rsidRPr="00FB6132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</w:rPr>
                      <w:t>http://</w:t>
                    </w:r>
                    <w:r w:rsidRPr="00FB6132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  <w:lang w:val="en-US"/>
                      </w:rPr>
                      <w:t>C</w:t>
                    </w:r>
                    <w:r w:rsidRPr="00FB6132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</w:rPr>
                      <w:t>nap</w:t>
                    </w:r>
                    <w:r w:rsidRPr="00E31D13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</w:rPr>
                      <w:t>_</w:t>
                    </w:r>
                    <w:r w:rsidRPr="00FB6132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  <w:lang w:val="en-US"/>
                      </w:rPr>
                      <w:t>bucha</w:t>
                    </w:r>
                    <w:r w:rsidRPr="00FB6132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</w:rPr>
                      <w:t>@ukr.net</w:t>
                    </w:r>
                  </w:hyperlink>
                  <w:r w:rsidRPr="00FB6132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</w:p>
                <w:p w:rsidR="006A6F3A" w:rsidRPr="00FB6132" w:rsidRDefault="006A6F3A" w:rsidP="00486989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FB6132">
                    <w:rPr>
                      <w:rFonts w:eastAsia="Calibri"/>
                      <w:sz w:val="20"/>
                      <w:szCs w:val="20"/>
                    </w:rPr>
                    <w:t xml:space="preserve">WEB-сайт: </w:t>
                  </w:r>
                  <w:hyperlink r:id="rId10" w:history="1">
                    <w:r w:rsidRPr="00FB6132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</w:rPr>
                      <w:t>http://www.bucha-rada.gov.ua/list-administrative-services</w:t>
                    </w:r>
                  </w:hyperlink>
                  <w:r w:rsidRPr="00FB6132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</w:p>
                <w:p w:rsidR="006A6F3A" w:rsidRPr="00FB6132" w:rsidRDefault="006A6F3A" w:rsidP="00486989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FB6132">
                    <w:rPr>
                      <w:rFonts w:eastAsia="Calibri"/>
                      <w:b/>
                      <w:sz w:val="20"/>
                      <w:szCs w:val="20"/>
                    </w:rPr>
                    <w:t xml:space="preserve">смт Бородянка: </w:t>
                  </w:r>
                  <w:r w:rsidRPr="00FB6132">
                    <w:rPr>
                      <w:rFonts w:eastAsia="Calibri"/>
                      <w:sz w:val="20"/>
                      <w:szCs w:val="20"/>
                    </w:rPr>
                    <w:t>(04577) 5-63-03</w:t>
                  </w:r>
                </w:p>
                <w:p w:rsidR="006A6F3A" w:rsidRPr="00E31D13" w:rsidRDefault="006A6F3A" w:rsidP="00486989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FB6132">
                    <w:rPr>
                      <w:rFonts w:eastAsia="Calibri"/>
                      <w:sz w:val="20"/>
                      <w:szCs w:val="20"/>
                      <w:lang w:val="en-US"/>
                    </w:rPr>
                    <w:t>e</w:t>
                  </w:r>
                  <w:r w:rsidRPr="00E31D13">
                    <w:rPr>
                      <w:rFonts w:eastAsia="Calibri"/>
                      <w:sz w:val="20"/>
                      <w:szCs w:val="20"/>
                      <w:lang w:val="ru-RU"/>
                    </w:rPr>
                    <w:t>-</w:t>
                  </w:r>
                  <w:r w:rsidRPr="00FB6132">
                    <w:rPr>
                      <w:rFonts w:eastAsia="Calibri"/>
                      <w:sz w:val="20"/>
                      <w:szCs w:val="20"/>
                      <w:lang w:val="en-US"/>
                    </w:rPr>
                    <w:t>mail</w:t>
                  </w:r>
                  <w:r w:rsidRPr="00FB6132">
                    <w:rPr>
                      <w:rFonts w:eastAsia="Calibri"/>
                      <w:sz w:val="20"/>
                      <w:szCs w:val="20"/>
                    </w:rPr>
                    <w:t xml:space="preserve">: </w:t>
                  </w:r>
                  <w:hyperlink r:id="rId11" w:history="1">
                    <w:r w:rsidRPr="00FB6132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  <w:lang w:val="en-US"/>
                      </w:rPr>
                      <w:t>http</w:t>
                    </w:r>
                    <w:r w:rsidRPr="00FB6132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</w:rPr>
                      <w:t>:</w:t>
                    </w:r>
                    <w:r w:rsidRPr="00E31D13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  <w:lang w:val="ru-RU"/>
                      </w:rPr>
                      <w:t>//</w:t>
                    </w:r>
                    <w:r w:rsidRPr="00FB6132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  <w:lang w:val="en-US"/>
                      </w:rPr>
                      <w:t>cnap</w:t>
                    </w:r>
                    <w:r w:rsidRPr="00E31D13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  <w:lang w:val="ru-RU"/>
                      </w:rPr>
                      <w:t>-</w:t>
                    </w:r>
                    <w:r w:rsidRPr="00FB6132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  <w:lang w:val="en-US"/>
                      </w:rPr>
                      <w:t>borodyanka</w:t>
                    </w:r>
                    <w:r w:rsidRPr="00E31D13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  <w:lang w:val="ru-RU"/>
                      </w:rPr>
                      <w:t>@</w:t>
                    </w:r>
                    <w:r w:rsidRPr="00FB6132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  <w:lang w:val="en-US"/>
                      </w:rPr>
                      <w:t>ukr</w:t>
                    </w:r>
                    <w:r w:rsidRPr="00E31D13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  <w:lang w:val="ru-RU"/>
                      </w:rPr>
                      <w:t>.</w:t>
                    </w:r>
                    <w:r w:rsidRPr="00FB6132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  <w:lang w:val="en-US"/>
                      </w:rPr>
                      <w:t>net</w:t>
                    </w:r>
                  </w:hyperlink>
                </w:p>
                <w:p w:rsidR="006A6F3A" w:rsidRPr="003142D0" w:rsidRDefault="006A6F3A" w:rsidP="00486989">
                  <w:pPr>
                    <w:jc w:val="both"/>
                    <w:rPr>
                      <w:sz w:val="20"/>
                      <w:szCs w:val="20"/>
                    </w:rPr>
                  </w:pPr>
                  <w:r w:rsidRPr="00FB6132">
                    <w:rPr>
                      <w:rFonts w:eastAsia="Calibri"/>
                      <w:sz w:val="20"/>
                      <w:szCs w:val="20"/>
                      <w:lang w:val="en-US"/>
                    </w:rPr>
                    <w:t>WEB</w:t>
                  </w:r>
                  <w:r w:rsidRPr="00FB6132">
                    <w:rPr>
                      <w:rFonts w:eastAsia="Calibri"/>
                      <w:sz w:val="20"/>
                      <w:szCs w:val="20"/>
                    </w:rPr>
                    <w:t xml:space="preserve">-сайт: </w:t>
                  </w:r>
                  <w:hyperlink r:id="rId12" w:history="1">
                    <w:r w:rsidRPr="00FB6132">
                      <w:rPr>
                        <w:rStyle w:val="a8"/>
                        <w:rFonts w:eastAsia="Calibri"/>
                        <w:sz w:val="20"/>
                        <w:szCs w:val="20"/>
                        <w:u w:val="none"/>
                      </w:rPr>
                      <w:t>http://rdabr.gov.ua/centr</w:t>
                    </w:r>
                  </w:hyperlink>
                  <w:r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</w:rPr>
                    <w:tab/>
                  </w:r>
                </w:p>
              </w:tc>
            </w:tr>
            <w:tr w:rsidR="00D176AB" w:rsidRPr="00D176AB" w:rsidTr="000D658F">
              <w:trPr>
                <w:trHeight w:val="455"/>
              </w:trPr>
              <w:tc>
                <w:tcPr>
                  <w:tcW w:w="9628" w:type="dxa"/>
                  <w:gridSpan w:val="3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i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Нормативні акти, якими регламентується надання адміністративної послуги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 xml:space="preserve">Закони України 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Статті 20, 23 Закону України «Про оцінку земель»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 xml:space="preserve">Акти Кабінету Міністрів України 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Постанова Кабінету Міністрів України від 23 березня 1995 р.           № 213 «Про Методику нормативної грошової оцінки земель населених пунктів»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Постанова Кабінету Міністрів України від 23 листопада 2011 р.      № 1278 «Про затвердження Методики нормативної грошової оцінки земель несільськогосподарського призначення (крім земель населених пунктів) »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Постанова Кабінету Міністрів України від 16 листопада 2016 р.     № 831 «Про затвердження Методики нормативної грошової оцінки земель сільськогосподарського призначення»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Постанова Кабінету Міністрів України від 7 лютого 2018 р. № 105 «Про проведення загальнонаціональної (всеукраїнської) нормативної грошової оцінки земель сільськогосподарського призначення та внесення змін до деяких постанов Кабінету Міністрів України»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 xml:space="preserve">Розпорядження Кабінету Міністрів України від 16 травня 2014 р. № 523-р «Деякі питання надання адміністративних послуг органів виконавчої влади через центри надання адміністративних послуг»    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 xml:space="preserve">Акти центральних органів </w:t>
                  </w:r>
                  <w:r w:rsidRPr="00D176AB">
                    <w:rPr>
                      <w:rFonts w:eastAsia="Calibri"/>
                      <w:sz w:val="20"/>
                      <w:szCs w:val="20"/>
                    </w:rPr>
                    <w:lastRenderedPageBreak/>
                    <w:t>виконавчої влади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lastRenderedPageBreak/>
                    <w:t xml:space="preserve">Наказ Міністерства аграрної політики та продовольства України </w:t>
                  </w:r>
                  <w:r w:rsidRPr="00D176AB">
                    <w:rPr>
                      <w:rFonts w:eastAsia="Calibri"/>
                      <w:sz w:val="20"/>
                      <w:szCs w:val="20"/>
                    </w:rPr>
                    <w:lastRenderedPageBreak/>
                    <w:t>від 22.08.2013 № 508 «Про затвердження Порядку нормативної грошової оцінки земель несільськогосподарського призначення (крім земель населених пунктів)», зареєстрований в Міністерстві юстиції України 12 вересня 2013 р. за № 1573/24105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Наказ Міністерства аграрної політики та продовольства України від 25.11.2016 № 489 «Про затвердження Порядку нормативної грошової оцінки земель населених пунктів», зареєстрований в Міністерстві юстиції України 19 грудня 2016 р. за № 1647/29777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Наказ Міністерства аграрної політики та продовольства України від 23.05.2017  № 262 «Про затвердження Порядку нормативної грошової оцінки земель сільськогосподарського призначення», зареєстрований в Міністерстві юстиції України 31 травня 2017 р. за № 679/30547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lastRenderedPageBreak/>
                    <w:t>7.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Акти місцевих органів виконавчої влади/ органів місцевого самоврядування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i/>
                      <w:sz w:val="20"/>
                      <w:szCs w:val="20"/>
                    </w:rPr>
                  </w:pPr>
                </w:p>
              </w:tc>
            </w:tr>
            <w:tr w:rsidR="00D176AB" w:rsidRPr="00D176AB" w:rsidTr="000D658F">
              <w:trPr>
                <w:trHeight w:val="471"/>
              </w:trPr>
              <w:tc>
                <w:tcPr>
                  <w:tcW w:w="9628" w:type="dxa"/>
                  <w:gridSpan w:val="3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i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Умови отримання адміністративної послуги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Підстава для одержання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Заява юридичної, фізичної особи, органу державної влади або органу місцевого самоврядування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Вичерпний перелік документів, необхідних для отримання адміністративної послуги, а також вимоги до них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1. Заява про надання витягу з технічної документації про нормативну грошову оцінку земельної ділянки</w:t>
                  </w:r>
                </w:p>
                <w:p w:rsidR="00D176AB" w:rsidRPr="00D176AB" w:rsidRDefault="00D176AB" w:rsidP="00D176AB">
                  <w:pPr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2. </w:t>
                  </w:r>
                  <w:r w:rsidRPr="00D176AB">
                    <w:rPr>
                      <w:sz w:val="20"/>
                      <w:szCs w:val="20"/>
                    </w:rPr>
                    <w:t>Документ, який підтверджує повноваження діяти від імені заявника (у разі подання заяви уповноваженою заявником особою)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Порядок та спосіб подання документів, необхідних для отримання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Подаються до центру надання адміністративних послуг особисто заявником (уповноваженою особою заявника), направлення поштою або в електронній формі через Єдиний державний портал адміністративних послуг, в тому числі через інтегровану з ним інформаційну систему Держгеокадастру.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Платність (безоплатність) надання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Безоплатно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Строк надання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Строк, що не перевищує трьох робочих днів з дати реєстрації відповідної заяви у територіальному органі Держгеокадастру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Перелік підстав для відмови у наданні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1. Відсутність технічної документації з нормативної грошової оцінки земель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i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2. Земельна ділянка несформована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Результат надання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Витяг з технічної документації про нормативну грошову оцінку земельної ділянки або відмова у видачі такого витягу</w:t>
                  </w:r>
                </w:p>
              </w:tc>
            </w:tr>
            <w:tr w:rsidR="00D176AB" w:rsidRPr="00D176AB" w:rsidTr="000D658F">
              <w:trPr>
                <w:trHeight w:val="70"/>
              </w:trPr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Способи отримання відповіді (результату)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заяві.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У разі подання заяви в електронній формі результат може  надаватись в електронній формі технічними засобами телекомунікацій з накладенням кваліфікованого електронного підпису.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Примітка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</w:tbl>
          <w:p w:rsidR="00D176AB" w:rsidRPr="00D176AB" w:rsidRDefault="00D176AB" w:rsidP="00D176AB">
            <w:pPr>
              <w:spacing w:before="60" w:after="60"/>
            </w:pPr>
          </w:p>
        </w:tc>
      </w:tr>
    </w:tbl>
    <w:p w:rsidR="00D176AB" w:rsidRPr="00D176AB" w:rsidRDefault="00D176AB" w:rsidP="00D176AB"/>
    <w:p w:rsidR="00D176AB" w:rsidRPr="00D176AB" w:rsidRDefault="00D176AB" w:rsidP="00D176AB"/>
    <w:p w:rsidR="00D176AB" w:rsidRDefault="00D176AB" w:rsidP="00BB26DC">
      <w:pPr>
        <w:shd w:val="clear" w:color="auto" w:fill="FFFFFF"/>
        <w:spacing w:before="60" w:after="60"/>
      </w:pPr>
    </w:p>
    <w:p w:rsidR="00D176AB" w:rsidRDefault="00D176AB" w:rsidP="00BB26DC">
      <w:pPr>
        <w:shd w:val="clear" w:color="auto" w:fill="FFFFFF"/>
        <w:spacing w:before="60" w:after="60"/>
      </w:pPr>
      <w:bookmarkStart w:id="0" w:name="_GoBack"/>
      <w:bookmarkEnd w:id="0"/>
    </w:p>
    <w:sectPr w:rsidR="00D176AB" w:rsidSect="00352136">
      <w:headerReference w:type="even" r:id="rId13"/>
      <w:headerReference w:type="defaul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AC4" w:rsidRDefault="00310AC4">
      <w:r>
        <w:separator/>
      </w:r>
    </w:p>
  </w:endnote>
  <w:endnote w:type="continuationSeparator" w:id="0">
    <w:p w:rsidR="00310AC4" w:rsidRDefault="0031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AC4" w:rsidRDefault="00310AC4">
      <w:r>
        <w:separator/>
      </w:r>
    </w:p>
  </w:footnote>
  <w:footnote w:type="continuationSeparator" w:id="0">
    <w:p w:rsidR="00310AC4" w:rsidRDefault="00310A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F3A">
          <w:rPr>
            <w:noProof/>
          </w:rPr>
          <w:t>2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267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3DBC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4EF3"/>
    <w:rsid w:val="000B532F"/>
    <w:rsid w:val="000B5BC8"/>
    <w:rsid w:val="000B714C"/>
    <w:rsid w:val="000B7919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1C53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9FE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1A92"/>
    <w:rsid w:val="002B234A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508"/>
    <w:rsid w:val="002F7AD2"/>
    <w:rsid w:val="00300003"/>
    <w:rsid w:val="003003C0"/>
    <w:rsid w:val="00302678"/>
    <w:rsid w:val="00304C70"/>
    <w:rsid w:val="00305936"/>
    <w:rsid w:val="00307CA7"/>
    <w:rsid w:val="00310AC4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22B3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4AF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86D61"/>
    <w:rsid w:val="0059117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A6F3A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6E1D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5817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3E2F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B3D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2D32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23F2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2524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6335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F1F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0817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246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382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0AB1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BE1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5E55"/>
    <w:rsid w:val="00E57079"/>
    <w:rsid w:val="00E571AB"/>
    <w:rsid w:val="00E62CDE"/>
    <w:rsid w:val="00E635A8"/>
    <w:rsid w:val="00E63E58"/>
    <w:rsid w:val="00E6442F"/>
    <w:rsid w:val="00E6560A"/>
    <w:rsid w:val="00E65704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4B84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426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B51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D1202-6A44-48A5-AA89-4D4A51AAE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3798</Words>
  <Characters>2166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3</cp:revision>
  <cp:lastPrinted>2020-07-21T13:59:00Z</cp:lastPrinted>
  <dcterms:created xsi:type="dcterms:W3CDTF">2020-07-21T13:57:00Z</dcterms:created>
  <dcterms:modified xsi:type="dcterms:W3CDTF">2020-07-21T14:00:00Z</dcterms:modified>
</cp:coreProperties>
</file>